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04" w:rsidRDefault="006A0528">
      <w:pPr>
        <w:spacing w:line="360" w:lineRule="auto"/>
        <w:jc w:val="center"/>
        <w:rPr>
          <w:rStyle w:val="NormalCharacter"/>
          <w:rFonts w:ascii="微软雅黑" w:eastAsia="微软雅黑" w:hAnsi="微软雅黑"/>
          <w:b/>
          <w:sz w:val="44"/>
          <w:szCs w:val="44"/>
        </w:rPr>
      </w:pPr>
      <w:r>
        <w:rPr>
          <w:rStyle w:val="NormalCharacter"/>
          <w:rFonts w:ascii="微软雅黑" w:eastAsia="微软雅黑" w:hAnsi="微软雅黑"/>
          <w:b/>
          <w:sz w:val="44"/>
          <w:szCs w:val="44"/>
        </w:rPr>
        <w:t>2023年徐汇区业余大学招生简章</w:t>
      </w:r>
    </w:p>
    <w:p w:rsidR="003A5E04" w:rsidRDefault="006A0528">
      <w:pPr>
        <w:pStyle w:val="a7"/>
        <w:snapToGrid w:val="0"/>
        <w:spacing w:line="300" w:lineRule="auto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学校简介：</w:t>
      </w:r>
    </w:p>
    <w:p w:rsidR="003A5E04" w:rsidRDefault="006A0528">
      <w:pPr>
        <w:pStyle w:val="a7"/>
        <w:snapToGrid w:val="0"/>
        <w:spacing w:line="30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徐汇区业余大学，是一所教育部注册备案上海市人民政府批准，徐汇区人民政府主办提供多样化多层次终身教育的成人高等院校，1979年建校以来，学校以创业进取，求真务实，合作服务，追求卓越为办学理念，以适应社会发展的变化，满足学习者学习的需求，努力构建地区终身教育服务指导的公共平台为目标定位，经过几代业大人共同努力，在一个机构多块牌子的管理模式下，陆续增设徐汇区社区学院，上海开放大学徐汇分校和上海老年大学徐汇分校，呈现出成人高等学历教育、特殊教育、职业培训、社区教育、老年教育以及未成年人心理健康教育等多数融通、多元开放的工作格局，逐渐成为地区实施终身教育和推进学习型城市建设的积极</w:t>
      </w:r>
      <w:proofErr w:type="gramStart"/>
      <w:r>
        <w:rPr>
          <w:rFonts w:ascii="微软雅黑" w:eastAsia="微软雅黑" w:hAnsi="微软雅黑" w:cs="宋体" w:hint="eastAsia"/>
          <w:kern w:val="0"/>
          <w:sz w:val="24"/>
          <w:szCs w:val="24"/>
        </w:rPr>
        <w:t>践行</w:t>
      </w:r>
      <w:proofErr w:type="gramEnd"/>
      <w:r>
        <w:rPr>
          <w:rFonts w:ascii="微软雅黑" w:eastAsia="微软雅黑" w:hAnsi="微软雅黑" w:cs="宋体" w:hint="eastAsia"/>
          <w:kern w:val="0"/>
          <w:sz w:val="24"/>
          <w:szCs w:val="24"/>
        </w:rPr>
        <w:t>者和引领者，未来，学校将进一步探索、创新各类教育深度融合、相互协调、同步发展的机制，力争建成一流的地区终身教育教学与研究的高地和公共服务平台。</w:t>
      </w:r>
    </w:p>
    <w:p w:rsidR="003A5E04" w:rsidRDefault="006A0528">
      <w:pPr>
        <w:pStyle w:val="a7"/>
        <w:snapToGrid w:val="0"/>
        <w:spacing w:line="300" w:lineRule="auto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报名相关：</w:t>
      </w:r>
    </w:p>
    <w:p w:rsidR="003A5E04" w:rsidRDefault="006A0528">
      <w:pPr>
        <w:pStyle w:val="a7"/>
        <w:snapToGrid w:val="0"/>
        <w:spacing w:line="300" w:lineRule="auto"/>
        <w:ind w:firstLineChars="100" w:firstLine="240"/>
        <w:rPr>
          <w:rStyle w:val="NormalCharacter"/>
          <w:rFonts w:ascii="微软雅黑" w:eastAsia="微软雅黑" w:hAnsi="微软雅黑" w:cs="Times New Roman"/>
          <w:sz w:val="24"/>
          <w:szCs w:val="24"/>
        </w:rPr>
      </w:pPr>
      <w:r>
        <w:rPr>
          <w:rStyle w:val="NormalCharacter"/>
          <w:rFonts w:ascii="微软雅黑" w:eastAsia="微软雅黑" w:hAnsi="微软雅黑" w:cs="Times New Roman"/>
          <w:sz w:val="24"/>
          <w:szCs w:val="24"/>
        </w:rPr>
        <w:t>一、</w:t>
      </w:r>
      <w:r>
        <w:rPr>
          <w:rStyle w:val="NormalCharacter"/>
          <w:rFonts w:ascii="微软雅黑" w:eastAsia="微软雅黑" w:hAnsi="微软雅黑" w:cs="Times New Roman" w:hint="eastAsia"/>
          <w:sz w:val="24"/>
          <w:szCs w:val="24"/>
        </w:rPr>
        <w:t>报名条件</w:t>
      </w:r>
      <w:r>
        <w:rPr>
          <w:rStyle w:val="NormalCharacter"/>
          <w:rFonts w:ascii="微软雅黑" w:eastAsia="微软雅黑" w:hAnsi="微软雅黑" w:cs="Times New Roman"/>
          <w:sz w:val="24"/>
          <w:szCs w:val="24"/>
        </w:rPr>
        <w:t>：</w:t>
      </w:r>
      <w:r w:rsidR="00DB317C" w:rsidRPr="00DB317C">
        <w:rPr>
          <w:rFonts w:ascii="微软雅黑" w:eastAsia="微软雅黑" w:hAnsi="微软雅黑" w:cs="宋体"/>
          <w:kern w:val="0"/>
          <w:sz w:val="24"/>
          <w:szCs w:val="24"/>
        </w:rPr>
        <w:t>具有普通高中、职业高中、业余高中、中专、技校、职校学历或同等学力者</w:t>
      </w:r>
      <w:r w:rsidRPr="00DB317C">
        <w:rPr>
          <w:rFonts w:cs="宋体" w:hint="eastAsia"/>
          <w:kern w:val="0"/>
        </w:rPr>
        <w:t>（初中</w:t>
      </w:r>
      <w:proofErr w:type="gramStart"/>
      <w:r w:rsidRPr="00DB317C">
        <w:rPr>
          <w:rFonts w:cs="宋体" w:hint="eastAsia"/>
          <w:kern w:val="0"/>
        </w:rPr>
        <w:t>毕业需满四年</w:t>
      </w:r>
      <w:proofErr w:type="gramEnd"/>
      <w:r w:rsidRPr="00DB317C">
        <w:rPr>
          <w:rFonts w:cs="宋体" w:hint="eastAsia"/>
          <w:kern w:val="0"/>
        </w:rPr>
        <w:t>以上）</w:t>
      </w:r>
      <w:bookmarkStart w:id="0" w:name="_GoBack"/>
      <w:bookmarkEnd w:id="0"/>
    </w:p>
    <w:p w:rsidR="003A5E04" w:rsidRDefault="006A0528">
      <w:pPr>
        <w:spacing w:line="360" w:lineRule="auto"/>
        <w:ind w:firstLineChars="100" w:firstLine="24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二、考试时间：参加每年10月中下旬举行的全国成人高校入学考试</w:t>
      </w:r>
    </w:p>
    <w:p w:rsidR="003A5E04" w:rsidRDefault="006A0528">
      <w:pPr>
        <w:spacing w:line="360" w:lineRule="auto"/>
        <w:ind w:leftChars="114" w:left="1919" w:hangingChars="700" w:hanging="168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三、考试科目：语文、数学、英语</w:t>
      </w:r>
    </w:p>
    <w:p w:rsidR="003A5E04" w:rsidRDefault="006A0528">
      <w:pPr>
        <w:spacing w:line="360" w:lineRule="auto"/>
        <w:ind w:leftChars="114" w:left="1919" w:hangingChars="700" w:hanging="168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四、学习期限：2.5年~8年</w:t>
      </w:r>
    </w:p>
    <w:p w:rsidR="003A5E04" w:rsidRDefault="006A0528">
      <w:pPr>
        <w:spacing w:line="360" w:lineRule="auto"/>
        <w:ind w:firstLineChars="100" w:firstLine="24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五、上课地点：大木桥路434号（徐汇区业余大学内）</w:t>
      </w:r>
    </w:p>
    <w:p w:rsidR="003A5E04" w:rsidRDefault="006A0528">
      <w:pPr>
        <w:spacing w:line="360" w:lineRule="auto"/>
        <w:ind w:leftChars="106" w:left="1903" w:hangingChars="700" w:hanging="168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六、报名材料：一寸照一张、学历证书、身份证、非本市常住户口须工作证明</w:t>
      </w:r>
    </w:p>
    <w:p w:rsidR="003A5E04" w:rsidRDefault="006A0528">
      <w:pPr>
        <w:spacing w:line="360" w:lineRule="auto"/>
        <w:ind w:firstLineChars="100" w:firstLine="24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 xml:space="preserve">七、咨询电话： </w:t>
      </w:r>
      <w:r>
        <w:rPr>
          <w:rStyle w:val="NormalCharacter"/>
          <w:rFonts w:ascii="微软雅黑" w:eastAsia="微软雅黑" w:hAnsi="微软雅黑" w:hint="eastAsia"/>
          <w:sz w:val="32"/>
          <w:szCs w:val="32"/>
        </w:rPr>
        <w:t>021-</w:t>
      </w:r>
      <w:r>
        <w:rPr>
          <w:rStyle w:val="NormalCharacter"/>
          <w:rFonts w:ascii="微软雅黑" w:eastAsia="微软雅黑" w:hAnsi="微软雅黑"/>
          <w:sz w:val="32"/>
          <w:szCs w:val="32"/>
        </w:rPr>
        <w:t>64226302</w:t>
      </w:r>
    </w:p>
    <w:p w:rsidR="003A5E04" w:rsidRDefault="003A5E04">
      <w:pPr>
        <w:spacing w:line="360" w:lineRule="auto"/>
        <w:rPr>
          <w:rStyle w:val="NormalCharacter"/>
          <w:rFonts w:ascii="微软雅黑" w:eastAsia="微软雅黑" w:hAnsi="微软雅黑"/>
          <w:b/>
          <w:sz w:val="24"/>
        </w:rPr>
      </w:pPr>
    </w:p>
    <w:p w:rsidR="003A5E04" w:rsidRDefault="003A5E04">
      <w:pPr>
        <w:spacing w:line="360" w:lineRule="auto"/>
        <w:rPr>
          <w:rStyle w:val="NormalCharacter"/>
          <w:rFonts w:ascii="微软雅黑" w:eastAsia="微软雅黑" w:hAnsi="微软雅黑"/>
          <w:b/>
          <w:sz w:val="24"/>
        </w:rPr>
      </w:pPr>
    </w:p>
    <w:p w:rsidR="003A5E04" w:rsidRDefault="003A5E04">
      <w:pPr>
        <w:spacing w:line="360" w:lineRule="auto"/>
        <w:rPr>
          <w:rStyle w:val="NormalCharacter"/>
          <w:rFonts w:ascii="微软雅黑" w:eastAsia="微软雅黑" w:hAnsi="微软雅黑"/>
          <w:b/>
          <w:sz w:val="24"/>
        </w:rPr>
      </w:pPr>
    </w:p>
    <w:p w:rsidR="003A5E04" w:rsidRDefault="003A5E04">
      <w:pPr>
        <w:spacing w:line="360" w:lineRule="auto"/>
        <w:rPr>
          <w:rStyle w:val="NormalCharacter"/>
          <w:rFonts w:ascii="微软雅黑" w:eastAsia="微软雅黑" w:hAnsi="微软雅黑"/>
          <w:b/>
          <w:sz w:val="24"/>
        </w:rPr>
      </w:pPr>
    </w:p>
    <w:p w:rsidR="003A5E04" w:rsidRDefault="006A0528">
      <w:pPr>
        <w:spacing w:line="360" w:lineRule="auto"/>
        <w:rPr>
          <w:rStyle w:val="NormalCharacter"/>
          <w:rFonts w:ascii="微软雅黑" w:eastAsia="微软雅黑" w:hAnsi="微软雅黑"/>
          <w:b/>
          <w:sz w:val="28"/>
          <w:szCs w:val="28"/>
        </w:rPr>
      </w:pPr>
      <w:r>
        <w:rPr>
          <w:rStyle w:val="NormalCharacter"/>
          <w:rFonts w:ascii="微软雅黑" w:eastAsia="微软雅黑" w:hAnsi="微软雅黑" w:hint="eastAsia"/>
          <w:b/>
          <w:sz w:val="28"/>
          <w:szCs w:val="28"/>
        </w:rPr>
        <w:lastRenderedPageBreak/>
        <w:t>六个招生专业：</w:t>
      </w:r>
    </w:p>
    <w:p w:rsidR="003A5E04" w:rsidRDefault="006A0528">
      <w:pPr>
        <w:spacing w:line="360" w:lineRule="auto"/>
        <w:rPr>
          <w:rStyle w:val="NormalCharacter"/>
          <w:rFonts w:ascii="微软雅黑" w:hAnsi="微软雅黑"/>
          <w:sz w:val="24"/>
        </w:rPr>
      </w:pPr>
      <w:r>
        <w:rPr>
          <w:rStyle w:val="NormalCharacter"/>
          <w:rFonts w:ascii="微软雅黑" w:eastAsia="微软雅黑" w:hAnsi="微软雅黑" w:hint="eastAsia"/>
          <w:sz w:val="24"/>
        </w:rPr>
        <w:t>1</w:t>
      </w:r>
      <w:r>
        <w:rPr>
          <w:rStyle w:val="NormalCharacter"/>
          <w:rFonts w:ascii="微软雅黑" w:eastAsia="微软雅黑" w:hAnsi="微软雅黑"/>
          <w:sz w:val="24"/>
        </w:rPr>
        <w:t>、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社会工作专业</w:t>
      </w:r>
    </w:p>
    <w:p w:rsidR="003A5E04" w:rsidRDefault="006A0528">
      <w:pPr>
        <w:spacing w:line="360" w:lineRule="auto"/>
        <w:ind w:firstLineChars="200" w:firstLine="48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主要课程：社会学概论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社会工作概论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个案工作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小组工作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社区工作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调查研究方法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社会政策与法规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人类行为与社会环境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青少年社会工作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老年社会工作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残疾人社会工作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家庭及婚姻辅导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心理危机与干预等。</w:t>
      </w:r>
    </w:p>
    <w:p w:rsidR="003A5E04" w:rsidRDefault="006A0528">
      <w:pPr>
        <w:spacing w:line="360" w:lineRule="auto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2、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心理咨询专业</w:t>
      </w:r>
    </w:p>
    <w:p w:rsidR="003A5E04" w:rsidRDefault="006A0528">
      <w:pPr>
        <w:spacing w:line="360" w:lineRule="auto"/>
        <w:ind w:firstLineChars="200" w:firstLine="48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主要课程：普通心理学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发展心理学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教育心理学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社会心理学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心理测量与统计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管理心理学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家庭与婚姻辅导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心理咨询原理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心理咨询技术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团体心理辅导与训练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幼儿心理学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心理危机与干预</w:t>
      </w:r>
      <w:r>
        <w:rPr>
          <w:rStyle w:val="NormalCharacter"/>
          <w:rFonts w:ascii="微软雅黑" w:eastAsia="微软雅黑" w:hAnsi="微软雅黑" w:hint="eastAsia"/>
          <w:sz w:val="24"/>
        </w:rPr>
        <w:t>、异常</w:t>
      </w:r>
      <w:r>
        <w:rPr>
          <w:rStyle w:val="NormalCharacter"/>
          <w:rFonts w:ascii="微软雅黑" w:eastAsia="微软雅黑" w:hAnsi="微软雅黑"/>
          <w:sz w:val="24"/>
        </w:rPr>
        <w:t>心理学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公共关系学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幼儿卫生保健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Style w:val="NormalCharacter"/>
          <w:rFonts w:ascii="微软雅黑" w:eastAsia="微软雅黑" w:hAnsi="微软雅黑"/>
          <w:sz w:val="24"/>
        </w:rPr>
        <w:t>人力资源管理等。</w:t>
      </w:r>
    </w:p>
    <w:p w:rsidR="003A5E04" w:rsidRDefault="006A0528">
      <w:pPr>
        <w:spacing w:line="360" w:lineRule="auto"/>
        <w:rPr>
          <w:rStyle w:val="NormalCharacter"/>
          <w:rFonts w:ascii="微软雅黑" w:hAnsi="微软雅黑"/>
          <w:sz w:val="24"/>
        </w:rPr>
      </w:pPr>
      <w:r>
        <w:rPr>
          <w:rStyle w:val="NormalCharacter"/>
          <w:rFonts w:ascii="微软雅黑" w:eastAsia="微软雅黑" w:hAnsi="微软雅黑" w:hint="eastAsia"/>
          <w:sz w:val="24"/>
        </w:rPr>
        <w:t>3</w:t>
      </w:r>
      <w:r>
        <w:rPr>
          <w:rStyle w:val="NormalCharacter"/>
          <w:rFonts w:ascii="微软雅黑" w:eastAsia="微软雅黑" w:hAnsi="微软雅黑"/>
          <w:sz w:val="24"/>
        </w:rPr>
        <w:t>、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行政管理专业</w:t>
      </w:r>
    </w:p>
    <w:p w:rsidR="003A5E04" w:rsidRDefault="006A0528">
      <w:pPr>
        <w:spacing w:line="360" w:lineRule="auto"/>
        <w:ind w:firstLineChars="200" w:firstLine="48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主要课程：</w:t>
      </w:r>
      <w:r>
        <w:rPr>
          <w:rStyle w:val="NormalCharacter"/>
          <w:rFonts w:ascii="微软雅黑" w:eastAsia="微软雅黑" w:hAnsi="微软雅黑" w:hint="eastAsia"/>
          <w:sz w:val="24"/>
        </w:rPr>
        <w:t>应用文写作</w:t>
      </w:r>
      <w:r>
        <w:rPr>
          <w:rStyle w:val="NormalCharacter"/>
          <w:rFonts w:ascii="微软雅黑" w:eastAsia="微软雅黑" w:hAnsi="微软雅黑"/>
          <w:sz w:val="24"/>
        </w:rPr>
        <w:t>、计算机基础、行政管理学、社会学</w:t>
      </w:r>
      <w:r>
        <w:rPr>
          <w:rStyle w:val="NormalCharacter"/>
          <w:rFonts w:ascii="微软雅黑" w:eastAsia="微软雅黑" w:hAnsi="微软雅黑" w:hint="eastAsia"/>
          <w:sz w:val="24"/>
        </w:rPr>
        <w:t>概论</w:t>
      </w:r>
      <w:r>
        <w:rPr>
          <w:rStyle w:val="NormalCharacter"/>
          <w:rFonts w:ascii="微软雅黑" w:eastAsia="微软雅黑" w:hAnsi="微软雅黑"/>
          <w:sz w:val="24"/>
        </w:rPr>
        <w:t>、行政法</w:t>
      </w:r>
      <w:r>
        <w:rPr>
          <w:rStyle w:val="NormalCharacter"/>
          <w:rFonts w:ascii="微软雅黑" w:eastAsia="微软雅黑" w:hAnsi="微软雅黑" w:hint="eastAsia"/>
          <w:sz w:val="24"/>
        </w:rPr>
        <w:t>学</w:t>
      </w:r>
      <w:r>
        <w:rPr>
          <w:rStyle w:val="NormalCharacter"/>
          <w:rFonts w:ascii="微软雅黑" w:eastAsia="微软雅黑" w:hAnsi="微软雅黑"/>
          <w:sz w:val="24"/>
        </w:rPr>
        <w:t>、组织行为学、秘书学、政治学</w:t>
      </w:r>
      <w:r>
        <w:rPr>
          <w:rStyle w:val="NormalCharacter"/>
          <w:rFonts w:ascii="微软雅黑" w:eastAsia="微软雅黑" w:hAnsi="微软雅黑" w:hint="eastAsia"/>
          <w:sz w:val="24"/>
        </w:rPr>
        <w:t>原理</w:t>
      </w:r>
      <w:r>
        <w:rPr>
          <w:rStyle w:val="NormalCharacter"/>
          <w:rFonts w:ascii="微软雅黑" w:eastAsia="微软雅黑" w:hAnsi="微软雅黑"/>
          <w:sz w:val="24"/>
        </w:rPr>
        <w:t>、人力资源管理</w:t>
      </w:r>
      <w:r>
        <w:rPr>
          <w:rFonts w:ascii="微软雅黑" w:eastAsia="微软雅黑" w:hAnsi="微软雅黑" w:cs="微软雅黑" w:hint="eastAsia"/>
          <w:bCs/>
          <w:sz w:val="24"/>
        </w:rPr>
        <w:t>、行政管理案例分析、电子政务、公共关系学、劳动法与劳动合同法</w:t>
      </w:r>
      <w:r>
        <w:rPr>
          <w:rStyle w:val="NormalCharacter"/>
          <w:rFonts w:ascii="微软雅黑" w:eastAsia="微软雅黑" w:hAnsi="微软雅黑"/>
          <w:sz w:val="24"/>
        </w:rPr>
        <w:t>等。</w:t>
      </w:r>
    </w:p>
    <w:p w:rsidR="003A5E04" w:rsidRDefault="006A0528">
      <w:pPr>
        <w:spacing w:line="360" w:lineRule="auto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 w:hint="eastAsia"/>
          <w:sz w:val="24"/>
        </w:rPr>
        <w:t>4</w:t>
      </w:r>
      <w:r>
        <w:rPr>
          <w:rStyle w:val="NormalCharacter"/>
          <w:rFonts w:ascii="微软雅黑" w:eastAsia="微软雅黑" w:hAnsi="微软雅黑"/>
          <w:sz w:val="24"/>
        </w:rPr>
        <w:t>、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工商企业管理</w:t>
      </w:r>
      <w:r>
        <w:rPr>
          <w:rStyle w:val="NormalCharacter"/>
          <w:rFonts w:ascii="宋体" w:hAnsi="宋体" w:cs="宋体" w:hint="eastAsia"/>
          <w:sz w:val="28"/>
          <w:szCs w:val="28"/>
        </w:rPr>
        <w:tab/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专业</w:t>
      </w:r>
    </w:p>
    <w:p w:rsidR="003A5E04" w:rsidRDefault="006A0528">
      <w:pPr>
        <w:spacing w:line="360" w:lineRule="auto"/>
        <w:ind w:firstLineChars="200" w:firstLine="480"/>
        <w:rPr>
          <w:rStyle w:val="NormalCharacter"/>
          <w:rFonts w:ascii="微软雅黑" w:eastAsia="微软雅黑" w:hAnsi="微软雅黑"/>
          <w:sz w:val="24"/>
        </w:rPr>
      </w:pPr>
      <w:r>
        <w:rPr>
          <w:rStyle w:val="NormalCharacter"/>
          <w:rFonts w:ascii="微软雅黑" w:eastAsia="微软雅黑" w:hAnsi="微软雅黑"/>
          <w:sz w:val="24"/>
        </w:rPr>
        <w:t>主要课程：会计学基础、管理学概论、管理会计、财务管理、市场营销学、公共关系学、计算机基础、办公自动化、企业信息化与电子商务</w:t>
      </w:r>
      <w:r>
        <w:rPr>
          <w:rStyle w:val="NormalCharacter"/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统计学原理、经济法学、人力资源管理、管理心理学、经济学基础、进出口贸易实务</w:t>
      </w:r>
      <w:r>
        <w:rPr>
          <w:rStyle w:val="NormalCharacter"/>
          <w:rFonts w:ascii="微软雅黑" w:eastAsia="微软雅黑" w:hAnsi="微软雅黑"/>
          <w:sz w:val="24"/>
        </w:rPr>
        <w:t>等。</w:t>
      </w:r>
    </w:p>
    <w:p w:rsidR="003A5E04" w:rsidRDefault="003A5E04">
      <w:pPr>
        <w:spacing w:line="360" w:lineRule="auto"/>
        <w:ind w:firstLineChars="200" w:firstLine="480"/>
        <w:rPr>
          <w:rStyle w:val="NormalCharacter"/>
          <w:rFonts w:ascii="微软雅黑" w:eastAsia="微软雅黑" w:hAnsi="微软雅黑"/>
          <w:sz w:val="24"/>
        </w:rPr>
      </w:pPr>
    </w:p>
    <w:p w:rsidR="003A5E04" w:rsidRDefault="006A0528">
      <w:pPr>
        <w:spacing w:line="360" w:lineRule="auto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5</w:t>
      </w:r>
      <w:r>
        <w:rPr>
          <w:rStyle w:val="NormalCharacter"/>
          <w:rFonts w:ascii="微软雅黑" w:eastAsia="微软雅黑" w:hAnsi="微软雅黑"/>
          <w:sz w:val="24"/>
        </w:rPr>
        <w:t>、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大数据技术专业</w:t>
      </w:r>
    </w:p>
    <w:p w:rsidR="003A5E04" w:rsidRDefault="006A0528">
      <w:pPr>
        <w:spacing w:line="360" w:lineRule="auto"/>
        <w:ind w:leftChars="100" w:left="210" w:firstLineChars="100" w:firstLine="240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</w:rPr>
        <w:t xml:space="preserve">   主要课程：</w:t>
      </w:r>
      <w:r>
        <w:rPr>
          <w:rFonts w:ascii="微软雅黑" w:eastAsia="微软雅黑" w:hAnsi="微软雅黑" w:cs="微软雅黑" w:hint="eastAsia"/>
          <w:color w:val="000000" w:themeColor="text1"/>
          <w:sz w:val="24"/>
        </w:rPr>
        <w:t>大数据导论、操作系统应用、大数据技术与应用、数据分析与数据可视化、数据挖掘导论、程序设计基础与应用、互联网新媒体应用、机器学习基础、新媒体运营等。</w:t>
      </w:r>
    </w:p>
    <w:p w:rsidR="003A5E04" w:rsidRDefault="003A5E04">
      <w:pPr>
        <w:spacing w:line="360" w:lineRule="auto"/>
        <w:rPr>
          <w:rFonts w:ascii="微软雅黑" w:eastAsia="微软雅黑" w:hAnsi="微软雅黑" w:cs="微软雅黑"/>
          <w:color w:val="000000" w:themeColor="text1"/>
          <w:sz w:val="24"/>
        </w:rPr>
      </w:pPr>
    </w:p>
    <w:p w:rsidR="003A5E04" w:rsidRDefault="006A052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Fonts w:hint="eastAsia"/>
          <w:b/>
          <w:bCs/>
          <w:sz w:val="28"/>
          <w:szCs w:val="32"/>
        </w:rPr>
        <w:t>6</w:t>
      </w:r>
      <w:r>
        <w:rPr>
          <w:rStyle w:val="NormalCharacter"/>
          <w:rFonts w:ascii="微软雅黑" w:eastAsia="微软雅黑" w:hAnsi="微软雅黑"/>
          <w:sz w:val="24"/>
        </w:rPr>
        <w:t>、</w:t>
      </w:r>
      <w:r>
        <w:rPr>
          <w:rFonts w:hint="eastAsia"/>
          <w:b/>
          <w:bCs/>
          <w:sz w:val="28"/>
          <w:szCs w:val="32"/>
        </w:rPr>
        <w:t>视觉传达设计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专业</w:t>
      </w:r>
    </w:p>
    <w:p w:rsidR="003A5E04" w:rsidRDefault="006A052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</w:rPr>
        <w:t xml:space="preserve">      主要课程：</w:t>
      </w:r>
      <w:r>
        <w:rPr>
          <w:rFonts w:ascii="微软雅黑" w:eastAsia="微软雅黑" w:hAnsi="微软雅黑" w:cs="微软雅黑" w:hint="eastAsia"/>
          <w:sz w:val="24"/>
        </w:rPr>
        <w:t>素描与速写、色彩造型、</w:t>
      </w:r>
      <w:r>
        <w:rPr>
          <w:rFonts w:ascii="微软雅黑" w:eastAsia="微软雅黑" w:hAnsi="微软雅黑" w:cs="微软雅黑" w:hint="eastAsia"/>
          <w:sz w:val="24"/>
          <w:lang w:val="zh-CN"/>
        </w:rPr>
        <w:t>数字艺术基础、</w:t>
      </w:r>
      <w:r>
        <w:rPr>
          <w:rFonts w:ascii="微软雅黑" w:eastAsia="微软雅黑" w:hAnsi="微软雅黑" w:cs="微软雅黑" w:hint="eastAsia"/>
          <w:sz w:val="24"/>
        </w:rPr>
        <w:t>设计基础、3DMAX（MAYA）基础、编排设计、展示设计实践、室内设计基础、制图软件应用等。</w:t>
      </w:r>
    </w:p>
    <w:p w:rsidR="003A5E04" w:rsidRDefault="003A5E04" w:rsidP="006A052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 w:cs="微软雅黑"/>
          <w:sz w:val="24"/>
        </w:rPr>
      </w:pPr>
    </w:p>
    <w:p w:rsidR="003A5E04" w:rsidRPr="006A0528" w:rsidRDefault="006A0528" w:rsidP="006A0528">
      <w:pPr>
        <w:spacing w:line="360" w:lineRule="auto"/>
        <w:rPr>
          <w:rStyle w:val="NormalCharacter"/>
          <w:rFonts w:asciiTheme="minorEastAsia" w:eastAsia="微软雅黑" w:hAnsiTheme="minorEastAsia"/>
          <w:b/>
          <w:bCs/>
          <w:color w:val="000000" w:themeColor="text1"/>
          <w:szCs w:val="21"/>
        </w:rPr>
      </w:pPr>
      <w:r>
        <w:rPr>
          <w:rStyle w:val="NormalCharacter"/>
          <w:rFonts w:ascii="微软雅黑" w:eastAsia="微软雅黑" w:hAnsi="微软雅黑"/>
          <w:sz w:val="24"/>
        </w:rPr>
        <w:t xml:space="preserve">咨询电话： </w:t>
      </w:r>
      <w:r>
        <w:rPr>
          <w:rStyle w:val="NormalCharacter"/>
          <w:rFonts w:ascii="微软雅黑" w:eastAsia="微软雅黑" w:hAnsi="微软雅黑" w:hint="eastAsia"/>
          <w:sz w:val="32"/>
          <w:szCs w:val="32"/>
        </w:rPr>
        <w:t>021-</w:t>
      </w:r>
      <w:r>
        <w:rPr>
          <w:rStyle w:val="NormalCharacter"/>
          <w:rFonts w:ascii="微软雅黑" w:eastAsia="微软雅黑" w:hAnsi="微软雅黑"/>
          <w:sz w:val="32"/>
          <w:szCs w:val="32"/>
        </w:rPr>
        <w:t>6422630</w:t>
      </w:r>
      <w:r>
        <w:rPr>
          <w:rStyle w:val="NormalCharacter"/>
          <w:rFonts w:ascii="微软雅黑" w:eastAsia="微软雅黑" w:hAnsi="微软雅黑" w:hint="eastAsia"/>
          <w:sz w:val="32"/>
          <w:szCs w:val="32"/>
        </w:rPr>
        <w:t>2</w:t>
      </w:r>
    </w:p>
    <w:p w:rsidR="003A5E04" w:rsidRDefault="003A5E04">
      <w:pPr>
        <w:spacing w:line="360" w:lineRule="auto"/>
        <w:jc w:val="right"/>
        <w:rPr>
          <w:rStyle w:val="NormalCharacter"/>
          <w:sz w:val="24"/>
        </w:rPr>
      </w:pPr>
    </w:p>
    <w:sectPr w:rsidR="003A5E0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FF" w:rsidRDefault="004A6BFF" w:rsidP="00DB317C">
      <w:r>
        <w:separator/>
      </w:r>
    </w:p>
  </w:endnote>
  <w:endnote w:type="continuationSeparator" w:id="0">
    <w:p w:rsidR="004A6BFF" w:rsidRDefault="004A6BFF" w:rsidP="00DB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FF" w:rsidRDefault="004A6BFF" w:rsidP="00DB317C">
      <w:r>
        <w:separator/>
      </w:r>
    </w:p>
  </w:footnote>
  <w:footnote w:type="continuationSeparator" w:id="0">
    <w:p w:rsidR="004A6BFF" w:rsidRDefault="004A6BFF" w:rsidP="00DB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NiODM1NGM1ZDIzNGE3MGM0ZmFlNTA4MTJmNTE3ZmUifQ=="/>
  </w:docVars>
  <w:rsids>
    <w:rsidRoot w:val="003A4607"/>
    <w:rsid w:val="00032F94"/>
    <w:rsid w:val="000C3495"/>
    <w:rsid w:val="000C4149"/>
    <w:rsid w:val="000F3C46"/>
    <w:rsid w:val="00125549"/>
    <w:rsid w:val="001A44C7"/>
    <w:rsid w:val="002A7EBE"/>
    <w:rsid w:val="00300ED6"/>
    <w:rsid w:val="0033553F"/>
    <w:rsid w:val="003610D6"/>
    <w:rsid w:val="00394CE2"/>
    <w:rsid w:val="003A4607"/>
    <w:rsid w:val="003A5E04"/>
    <w:rsid w:val="004A4A71"/>
    <w:rsid w:val="004A6BFF"/>
    <w:rsid w:val="00582970"/>
    <w:rsid w:val="005C7D02"/>
    <w:rsid w:val="005D32E2"/>
    <w:rsid w:val="005F09CD"/>
    <w:rsid w:val="00657639"/>
    <w:rsid w:val="006A0528"/>
    <w:rsid w:val="006E37B0"/>
    <w:rsid w:val="0074687D"/>
    <w:rsid w:val="00762EB4"/>
    <w:rsid w:val="007A51B4"/>
    <w:rsid w:val="00843E3F"/>
    <w:rsid w:val="008676FC"/>
    <w:rsid w:val="008847F8"/>
    <w:rsid w:val="00994774"/>
    <w:rsid w:val="009A2379"/>
    <w:rsid w:val="00B87FF8"/>
    <w:rsid w:val="00BA68E0"/>
    <w:rsid w:val="00C357F9"/>
    <w:rsid w:val="00C46DE8"/>
    <w:rsid w:val="00C72D95"/>
    <w:rsid w:val="00D07C53"/>
    <w:rsid w:val="00D40A61"/>
    <w:rsid w:val="00DB317C"/>
    <w:rsid w:val="00DE22BA"/>
    <w:rsid w:val="00E10998"/>
    <w:rsid w:val="00E93831"/>
    <w:rsid w:val="00EB5378"/>
    <w:rsid w:val="027C2B0A"/>
    <w:rsid w:val="03A14204"/>
    <w:rsid w:val="04757EBE"/>
    <w:rsid w:val="0655130F"/>
    <w:rsid w:val="06620BC5"/>
    <w:rsid w:val="06913258"/>
    <w:rsid w:val="06D33870"/>
    <w:rsid w:val="07397B77"/>
    <w:rsid w:val="08033CE1"/>
    <w:rsid w:val="081F671F"/>
    <w:rsid w:val="0A2E4784"/>
    <w:rsid w:val="0A456833"/>
    <w:rsid w:val="0ADC09CB"/>
    <w:rsid w:val="0B461066"/>
    <w:rsid w:val="0D156991"/>
    <w:rsid w:val="0DB42EC3"/>
    <w:rsid w:val="0DEB76F2"/>
    <w:rsid w:val="0EA10303"/>
    <w:rsid w:val="0EC266A4"/>
    <w:rsid w:val="0FBC0018"/>
    <w:rsid w:val="105F7F23"/>
    <w:rsid w:val="107E5532"/>
    <w:rsid w:val="126B2BAF"/>
    <w:rsid w:val="157B135B"/>
    <w:rsid w:val="15A20227"/>
    <w:rsid w:val="16255F93"/>
    <w:rsid w:val="1A8707A2"/>
    <w:rsid w:val="1B5E7755"/>
    <w:rsid w:val="1BED6AA8"/>
    <w:rsid w:val="1F176598"/>
    <w:rsid w:val="24A106B2"/>
    <w:rsid w:val="25421E95"/>
    <w:rsid w:val="2BF37A45"/>
    <w:rsid w:val="2D1C121E"/>
    <w:rsid w:val="33E12879"/>
    <w:rsid w:val="34A73AC3"/>
    <w:rsid w:val="35CF1523"/>
    <w:rsid w:val="35E77684"/>
    <w:rsid w:val="36034D29"/>
    <w:rsid w:val="37D050DF"/>
    <w:rsid w:val="388F4F9A"/>
    <w:rsid w:val="397C551E"/>
    <w:rsid w:val="3AAC3BE1"/>
    <w:rsid w:val="3B497682"/>
    <w:rsid w:val="3C217EE4"/>
    <w:rsid w:val="3C373D13"/>
    <w:rsid w:val="3D9F7A2D"/>
    <w:rsid w:val="3E455A5C"/>
    <w:rsid w:val="3EF335E1"/>
    <w:rsid w:val="3FEA0D08"/>
    <w:rsid w:val="3FEE07F8"/>
    <w:rsid w:val="46C71DA3"/>
    <w:rsid w:val="48110F8E"/>
    <w:rsid w:val="48B6797B"/>
    <w:rsid w:val="4CA74208"/>
    <w:rsid w:val="4DDA060D"/>
    <w:rsid w:val="4DE67660"/>
    <w:rsid w:val="513A1AEF"/>
    <w:rsid w:val="517D7C2E"/>
    <w:rsid w:val="529A65BD"/>
    <w:rsid w:val="53852DC9"/>
    <w:rsid w:val="556C4241"/>
    <w:rsid w:val="56B75990"/>
    <w:rsid w:val="56BF65F2"/>
    <w:rsid w:val="57234DD3"/>
    <w:rsid w:val="57D83E10"/>
    <w:rsid w:val="59103AB9"/>
    <w:rsid w:val="59C31E69"/>
    <w:rsid w:val="59F80A3C"/>
    <w:rsid w:val="5B500161"/>
    <w:rsid w:val="5C2313D1"/>
    <w:rsid w:val="5C910A31"/>
    <w:rsid w:val="5FBB5B94"/>
    <w:rsid w:val="5FDE21DF"/>
    <w:rsid w:val="6324615B"/>
    <w:rsid w:val="6850354E"/>
    <w:rsid w:val="6C376EFF"/>
    <w:rsid w:val="6DDF5682"/>
    <w:rsid w:val="6F2E4FF3"/>
    <w:rsid w:val="6F7A7103"/>
    <w:rsid w:val="725D796D"/>
    <w:rsid w:val="73DB3D4B"/>
    <w:rsid w:val="74CA60F4"/>
    <w:rsid w:val="76855F4D"/>
    <w:rsid w:val="77343ACF"/>
    <w:rsid w:val="78FF6FF6"/>
    <w:rsid w:val="7B8F3F36"/>
    <w:rsid w:val="7E8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1D9FE-FDBF-4EBA-80D2-4FB8C58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/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qFormat/>
    <w:rPr>
      <w:kern w:val="2"/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2022-10-11T03:15:00Z</dcterms:created>
  <dcterms:modified xsi:type="dcterms:W3CDTF">2023-05-17T02:39:00Z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9CE82EE50DFF434BBB458A5F0638FA96_12</vt:lpwstr>
  </property>
</Properties>
</file>